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3F" w:rsidRDefault="00954132">
      <w:pPr>
        <w:pStyle w:val="50"/>
        <w:shd w:val="clear" w:color="auto" w:fill="auto"/>
        <w:spacing w:after="136" w:line="160" w:lineRule="exact"/>
        <w:ind w:right="-143"/>
        <w:jc w:val="right"/>
      </w:pPr>
      <w:r>
        <w:t>Приложение № 3</w:t>
      </w:r>
    </w:p>
    <w:p w:rsidR="00893E3F" w:rsidRDefault="00954132">
      <w:pPr>
        <w:pStyle w:val="80"/>
        <w:shd w:val="clear" w:color="auto" w:fill="auto"/>
        <w:spacing w:line="240" w:lineRule="auto"/>
        <w:ind w:right="-143" w:firstLine="0"/>
        <w:jc w:val="right"/>
        <w:rPr>
          <w:sz w:val="16"/>
          <w:szCs w:val="16"/>
        </w:rPr>
      </w:pPr>
      <w:r>
        <w:t xml:space="preserve">к </w:t>
      </w:r>
      <w:r>
        <w:rPr>
          <w:sz w:val="16"/>
          <w:szCs w:val="16"/>
        </w:rPr>
        <w:t xml:space="preserve">Договору о порядке открытия и обслуживания счета для расчетов </w:t>
      </w:r>
    </w:p>
    <w:p w:rsidR="00893E3F" w:rsidRDefault="00954132">
      <w:pPr>
        <w:pStyle w:val="80"/>
        <w:shd w:val="clear" w:color="auto" w:fill="auto"/>
        <w:spacing w:line="240" w:lineRule="auto"/>
        <w:ind w:right="-143" w:firstLine="0"/>
        <w:jc w:val="right"/>
        <w:rPr>
          <w:b/>
          <w:sz w:val="16"/>
          <w:szCs w:val="16"/>
        </w:rPr>
      </w:pPr>
      <w:r>
        <w:rPr>
          <w:sz w:val="16"/>
          <w:szCs w:val="16"/>
        </w:rPr>
        <w:t>с использованием корпоративных банковских карт ООО банк «Элита»</w:t>
      </w:r>
    </w:p>
    <w:p w:rsidR="00893E3F" w:rsidRDefault="00893E3F">
      <w:pPr>
        <w:pStyle w:val="60"/>
        <w:shd w:val="clear" w:color="auto" w:fill="auto"/>
        <w:spacing w:line="260" w:lineRule="exact"/>
        <w:rPr>
          <w:sz w:val="24"/>
          <w:szCs w:val="24"/>
        </w:rPr>
      </w:pPr>
    </w:p>
    <w:p w:rsidR="00893E3F" w:rsidRDefault="00893E3F">
      <w:pPr>
        <w:pStyle w:val="80"/>
        <w:shd w:val="clear" w:color="auto" w:fill="auto"/>
        <w:tabs>
          <w:tab w:val="left" w:leader="underscore" w:pos="4338"/>
        </w:tabs>
        <w:spacing w:after="120" w:line="216" w:lineRule="exact"/>
        <w:ind w:left="2220"/>
        <w:rPr>
          <w:sz w:val="24"/>
          <w:szCs w:val="24"/>
        </w:rPr>
      </w:pPr>
    </w:p>
    <w:p w:rsidR="00893E3F" w:rsidRDefault="00893E3F">
      <w:pPr>
        <w:pStyle w:val="31"/>
        <w:shd w:val="clear" w:color="auto" w:fill="auto"/>
        <w:spacing w:line="245" w:lineRule="exact"/>
        <w:ind w:left="4240" w:firstLine="0"/>
        <w:jc w:val="both"/>
      </w:pPr>
    </w:p>
    <w:p w:rsidR="00893E3F" w:rsidRDefault="00893E3F">
      <w:pPr>
        <w:pStyle w:val="31"/>
        <w:shd w:val="clear" w:color="auto" w:fill="auto"/>
        <w:spacing w:line="245" w:lineRule="exact"/>
        <w:ind w:left="4240" w:firstLine="0"/>
        <w:jc w:val="both"/>
      </w:pPr>
    </w:p>
    <w:p w:rsidR="00893E3F" w:rsidRDefault="00954132">
      <w:pPr>
        <w:pStyle w:val="31"/>
        <w:shd w:val="clear" w:color="auto" w:fill="auto"/>
        <w:spacing w:line="245" w:lineRule="exact"/>
        <w:ind w:left="4240" w:firstLine="0"/>
        <w:jc w:val="both"/>
      </w:pPr>
      <w:r>
        <w:t xml:space="preserve">Тарифы </w:t>
      </w:r>
    </w:p>
    <w:p w:rsidR="00893E3F" w:rsidRDefault="00954132">
      <w:pPr>
        <w:pStyle w:val="31"/>
        <w:shd w:val="clear" w:color="auto" w:fill="auto"/>
        <w:spacing w:line="245" w:lineRule="exact"/>
        <w:ind w:left="720" w:firstLine="0"/>
        <w:jc w:val="center"/>
      </w:pPr>
      <w:r>
        <w:t>открытия и обслуживания счета</w:t>
      </w:r>
      <w:r>
        <w:t xml:space="preserve"> для расчетов с</w:t>
      </w:r>
    </w:p>
    <w:p w:rsidR="00893E3F" w:rsidRDefault="00954132">
      <w:pPr>
        <w:pStyle w:val="31"/>
        <w:shd w:val="clear" w:color="auto" w:fill="auto"/>
        <w:tabs>
          <w:tab w:val="left" w:leader="underscore" w:pos="9021"/>
        </w:tabs>
        <w:spacing w:line="245" w:lineRule="exact"/>
        <w:ind w:left="720" w:firstLine="0"/>
        <w:jc w:val="center"/>
      </w:pPr>
      <w:r>
        <w:t>использованием корпоративных банковских карт</w:t>
      </w:r>
    </w:p>
    <w:p w:rsidR="00893E3F" w:rsidRDefault="00954132">
      <w:pPr>
        <w:pStyle w:val="80"/>
        <w:shd w:val="clear" w:color="auto" w:fill="auto"/>
        <w:tabs>
          <w:tab w:val="left" w:leader="underscore" w:pos="4338"/>
        </w:tabs>
        <w:spacing w:line="240" w:lineRule="auto"/>
        <w:ind w:left="142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банк «Элита» </w:t>
      </w:r>
    </w:p>
    <w:tbl>
      <w:tblPr>
        <w:tblStyle w:val="ac"/>
        <w:tblpPr w:leftFromText="180" w:rightFromText="180" w:vertAnchor="page" w:horzAnchor="page" w:tblpX="1431" w:tblpY="4871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93E3F">
        <w:tc>
          <w:tcPr>
            <w:tcW w:w="7196" w:type="dxa"/>
          </w:tcPr>
          <w:p w:rsidR="00893E3F" w:rsidRDefault="0095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 и условий обслуживания</w:t>
            </w:r>
          </w:p>
        </w:tc>
        <w:tc>
          <w:tcPr>
            <w:tcW w:w="2410" w:type="dxa"/>
          </w:tcPr>
          <w:p w:rsidR="00893E3F" w:rsidRDefault="00893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E3F">
        <w:trPr>
          <w:trHeight w:val="560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Открытие Счета 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бесплатно</w:t>
            </w:r>
          </w:p>
        </w:tc>
      </w:tr>
      <w:tr w:rsidR="00893E3F">
        <w:trPr>
          <w:trHeight w:val="560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Обслуживание корпоративной карты в течение срока ее действия 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 руб. в год</w:t>
            </w:r>
          </w:p>
        </w:tc>
      </w:tr>
      <w:tr w:rsidR="00893E3F">
        <w:trPr>
          <w:trHeight w:val="560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Услуга </w:t>
            </w:r>
            <w:r>
              <w:rPr>
                <w:rFonts w:ascii="Times New Roman" w:hAnsi="Times New Roman" w:cs="Times New Roman"/>
                <w:lang w:val="en-US"/>
              </w:rPr>
              <w:t>SMS</w:t>
            </w:r>
            <w:r>
              <w:rPr>
                <w:rFonts w:ascii="Times New Roman" w:hAnsi="Times New Roman" w:cs="Times New Roman"/>
              </w:rPr>
              <w:t>-информирования о проведении операции (ежемесячно)</w:t>
            </w:r>
            <w:r>
              <w:rPr>
                <w:rStyle w:val="af2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 руб. в месяц</w:t>
            </w:r>
          </w:p>
        </w:tc>
      </w:tr>
      <w:tr w:rsidR="00893E3F">
        <w:trPr>
          <w:trHeight w:val="554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Зачисление безналичных денежных средств, поступивших на Счет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бесплатно</w:t>
            </w:r>
          </w:p>
        </w:tc>
      </w:tr>
      <w:tr w:rsidR="00893E3F">
        <w:trPr>
          <w:trHeight w:val="561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Выдача наличных денежных средств через банкоматы и в пунктах выдачи наличных денежных средств ООО банк «Эл</w:t>
            </w:r>
            <w:r>
              <w:rPr>
                <w:rFonts w:ascii="Times New Roman" w:hAnsi="Times New Roman" w:cs="Times New Roman"/>
              </w:rPr>
              <w:t>ита» и банков партнеров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1%</w:t>
            </w:r>
          </w:p>
        </w:tc>
      </w:tr>
      <w:tr w:rsidR="00893E3F">
        <w:trPr>
          <w:trHeight w:val="555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Выдача наличных денежных средств через банкоматы и в пунктах выдачи наличных денежных средств других кредитных организаций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1%</w:t>
            </w:r>
          </w:p>
        </w:tc>
      </w:tr>
      <w:tr w:rsidR="00893E3F">
        <w:trPr>
          <w:trHeight w:val="555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Оплата товаров и услуг в предприятиях торгово-сервисной сети при помощи карты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бесплатно</w:t>
            </w:r>
          </w:p>
        </w:tc>
      </w:tr>
      <w:tr w:rsidR="00893E3F">
        <w:trPr>
          <w:trHeight w:val="555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Прием  денежной наличности, внесенной в кассу Банка для пополнения Счета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соответствии с тарифами на расчетно-кассовое обслуживание</w:t>
            </w:r>
          </w:p>
        </w:tc>
      </w:tr>
      <w:tr w:rsidR="00893E3F">
        <w:trPr>
          <w:trHeight w:val="555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Прием и исполнение платежей по Счету</w:t>
            </w:r>
          </w:p>
        </w:tc>
        <w:tc>
          <w:tcPr>
            <w:tcW w:w="2410" w:type="dxa"/>
            <w:vAlign w:val="center"/>
          </w:tcPr>
          <w:p w:rsidR="00893E3F" w:rsidRDefault="00954132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соответствии с тарифами на расчетно-кассовое обслуживание</w:t>
            </w:r>
          </w:p>
        </w:tc>
      </w:tr>
      <w:tr w:rsidR="00893E3F">
        <w:trPr>
          <w:trHeight w:val="563"/>
        </w:trPr>
        <w:tc>
          <w:tcPr>
            <w:tcW w:w="7196" w:type="dxa"/>
            <w:vAlign w:val="center"/>
          </w:tcPr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Лимит выдачи</w:t>
            </w:r>
          </w:p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день (по одной карте)</w:t>
            </w:r>
          </w:p>
          <w:p w:rsidR="00893E3F" w:rsidRDefault="0095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месяц</w:t>
            </w:r>
            <w:r>
              <w:rPr>
                <w:rStyle w:val="af2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893E3F" w:rsidRDefault="00893E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E3F" w:rsidRDefault="00893E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100 000 руб.</w:t>
            </w:r>
          </w:p>
          <w:p w:rsidR="00893E3F" w:rsidRDefault="009541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300 000 руб.</w:t>
            </w:r>
          </w:p>
          <w:p w:rsidR="00893E3F" w:rsidRDefault="00893E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93E3F" w:rsidRDefault="00893E3F">
      <w:pPr>
        <w:pStyle w:val="80"/>
        <w:shd w:val="clear" w:color="auto" w:fill="auto"/>
        <w:tabs>
          <w:tab w:val="left" w:leader="underscore" w:pos="4338"/>
        </w:tabs>
        <w:spacing w:line="240" w:lineRule="auto"/>
        <w:ind w:left="142" w:firstLine="0"/>
        <w:rPr>
          <w:b/>
          <w:sz w:val="22"/>
          <w:szCs w:val="22"/>
        </w:rPr>
      </w:pPr>
    </w:p>
    <w:p w:rsidR="00893E3F" w:rsidRDefault="00954132">
      <w:pPr>
        <w:pStyle w:val="80"/>
        <w:shd w:val="clear" w:color="auto" w:fill="auto"/>
        <w:tabs>
          <w:tab w:val="left" w:leader="underscore" w:pos="4338"/>
        </w:tabs>
        <w:spacing w:line="240" w:lineRule="auto"/>
        <w:ind w:left="142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893E3F" w:rsidRDefault="00893E3F">
      <w:pPr>
        <w:rPr>
          <w:rFonts w:ascii="Times New Roman" w:hAnsi="Times New Roman" w:cs="Times New Roman"/>
        </w:rPr>
      </w:pPr>
    </w:p>
    <w:p w:rsidR="00893E3F" w:rsidRDefault="00893E3F">
      <w:pPr>
        <w:rPr>
          <w:rFonts w:ascii="Times New Roman" w:hAnsi="Times New Roman" w:cs="Times New Roman"/>
        </w:rPr>
      </w:pPr>
    </w:p>
    <w:p w:rsidR="00893E3F" w:rsidRDefault="00893E3F">
      <w:pPr>
        <w:pStyle w:val="80"/>
        <w:shd w:val="clear" w:color="auto" w:fill="auto"/>
        <w:spacing w:line="240" w:lineRule="auto"/>
        <w:ind w:right="40" w:firstLine="0"/>
        <w:jc w:val="both"/>
        <w:rPr>
          <w:sz w:val="20"/>
          <w:szCs w:val="20"/>
        </w:rPr>
      </w:pPr>
    </w:p>
    <w:p w:rsidR="00893E3F" w:rsidRDefault="00893E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3E3F">
      <w:headerReference w:type="default" r:id="rId8"/>
      <w:footerReference w:type="default" r:id="rId9"/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32" w:rsidRDefault="00954132">
      <w:r>
        <w:separator/>
      </w:r>
    </w:p>
  </w:endnote>
  <w:endnote w:type="continuationSeparator" w:id="0">
    <w:p w:rsidR="00954132" w:rsidRDefault="009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3F" w:rsidRDefault="00893E3F">
    <w:pPr>
      <w:pStyle w:val="a8"/>
      <w:ind w:left="-14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32" w:rsidRDefault="00954132">
      <w:r>
        <w:separator/>
      </w:r>
    </w:p>
  </w:footnote>
  <w:footnote w:type="continuationSeparator" w:id="0">
    <w:p w:rsidR="00954132" w:rsidRDefault="00954132">
      <w:r>
        <w:continuationSeparator/>
      </w:r>
    </w:p>
  </w:footnote>
  <w:footnote w:id="1">
    <w:p w:rsidR="00893E3F" w:rsidRDefault="00954132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Комиссия за услугу СМС информирования о проведенных операциях взымается один раз в месяц в форме фиксированной абонентской платы, в независимости от фактического </w:t>
      </w:r>
      <w:r>
        <w:rPr>
          <w:rFonts w:ascii="Times New Roman" w:hAnsi="Times New Roman" w:cs="Times New Roman"/>
        </w:rPr>
        <w:t>количества дней использования услуги. В случаи нехватки денежных средств на счете банковской карты необходимой для удержания комиссии, услуга СМС информирования отключается. Подключение услуги происходит, при достаточности денежных средств на счете банковс</w:t>
      </w:r>
      <w:r>
        <w:rPr>
          <w:rFonts w:ascii="Times New Roman" w:hAnsi="Times New Roman" w:cs="Times New Roman"/>
        </w:rPr>
        <w:t>кой карты для удержания комиссии согласно данных Тарифов, на конец операционного дня банка. В случаи если услуга была не активна в течении всего календарного месяца, комиссия за данный месяц не удерживается.</w:t>
      </w:r>
    </w:p>
  </w:footnote>
  <w:footnote w:id="2">
    <w:p w:rsidR="00893E3F" w:rsidRDefault="00954132">
      <w:pPr>
        <w:pStyle w:val="80"/>
        <w:shd w:val="clear" w:color="auto" w:fill="auto"/>
        <w:spacing w:line="240" w:lineRule="auto"/>
        <w:ind w:right="40" w:firstLine="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sz w:val="20"/>
          <w:szCs w:val="20"/>
        </w:rPr>
        <w:t xml:space="preserve">Лимит устанавливается </w:t>
      </w:r>
      <w:proofErr w:type="gramStart"/>
      <w:r>
        <w:rPr>
          <w:sz w:val="20"/>
          <w:szCs w:val="20"/>
        </w:rPr>
        <w:t>на  организацию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заключившую Договор о порядке открытия и обслуживания счета для расчетов с использованием корпоративных банковских карт ООО банк «Элита», не зависимо от количества оформленных корпоративных банковских карт.</w:t>
      </w:r>
    </w:p>
    <w:p w:rsidR="00893E3F" w:rsidRDefault="00893E3F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3F" w:rsidRDefault="00893E3F">
    <w:pPr>
      <w:pStyle w:val="a6"/>
    </w:pPr>
  </w:p>
  <w:p w:rsidR="00893E3F" w:rsidRDefault="00893E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23E"/>
    <w:multiLevelType w:val="multilevel"/>
    <w:tmpl w:val="15EE9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E276A"/>
    <w:multiLevelType w:val="hybridMultilevel"/>
    <w:tmpl w:val="66A2E178"/>
    <w:lvl w:ilvl="0" w:tplc="775A136C">
      <w:start w:val="30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684E"/>
    <w:multiLevelType w:val="hybridMultilevel"/>
    <w:tmpl w:val="67603F1A"/>
    <w:lvl w:ilvl="0" w:tplc="5074DDAA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9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645BB"/>
    <w:multiLevelType w:val="hybridMultilevel"/>
    <w:tmpl w:val="F7202FAC"/>
    <w:lvl w:ilvl="0" w:tplc="AE683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913E56"/>
    <w:multiLevelType w:val="multilevel"/>
    <w:tmpl w:val="4EC0A6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77314B"/>
    <w:multiLevelType w:val="hybridMultilevel"/>
    <w:tmpl w:val="B80EAB06"/>
    <w:lvl w:ilvl="0" w:tplc="72A20F50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F1F"/>
    <w:multiLevelType w:val="hybridMultilevel"/>
    <w:tmpl w:val="1D26A2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0BB0C3C"/>
    <w:multiLevelType w:val="hybridMultilevel"/>
    <w:tmpl w:val="C46CE52C"/>
    <w:lvl w:ilvl="0" w:tplc="0BA6267C">
      <w:start w:val="300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E3F"/>
    <w:rsid w:val="00893E3F"/>
    <w:rsid w:val="00954132"/>
    <w:rsid w:val="00E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54574"/>
  <w15:docId w15:val="{A5147727-A213-4BA2-A9E8-25470296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30pt">
    <w:name w:val="Основной текст (13) + Полужирный;Интервал 0 pt"/>
    <w:basedOn w:val="13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9" w:lineRule="exact"/>
      <w:ind w:hanging="10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Exact">
    <w:name w:val="Подпись к таблице (5) Exact"/>
    <w:basedOn w:val="a0"/>
    <w:link w:val="5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51">
    <w:name w:val="Подпись к таблице (5)"/>
    <w:basedOn w:val="a"/>
    <w:link w:val="5Exact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1">
    <w:name w:val="заголовок 1"/>
    <w:basedOn w:val="a"/>
    <w:next w:val="a"/>
    <w:pPr>
      <w:keepNext/>
      <w:widowControl/>
      <w:autoSpaceDE w:val="0"/>
      <w:autoSpaceDN w:val="0"/>
      <w:ind w:hanging="142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bidi="ar-SA"/>
    </w:rPr>
  </w:style>
  <w:style w:type="paragraph" w:customStyle="1" w:styleId="3">
    <w:name w:val="заголовок 3"/>
    <w:basedOn w:val="a"/>
    <w:next w:val="a"/>
    <w:pPr>
      <w:keepNext/>
      <w:widowControl/>
      <w:autoSpaceDE w:val="0"/>
      <w:autoSpaceDN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styleId="a3">
    <w:name w:val="Title"/>
    <w:basedOn w:val="a"/>
    <w:next w:val="a"/>
    <w:link w:val="a4"/>
    <w:qFormat/>
    <w:pPr>
      <w:widowControl/>
      <w:autoSpaceDE w:val="0"/>
      <w:autoSpaceDN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4">
    <w:name w:val="Заголовок Знак"/>
    <w:basedOn w:val="a0"/>
    <w:link w:val="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 (2)_"/>
    <w:basedOn w:val="a0"/>
    <w:link w:val="6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 (3)_"/>
    <w:basedOn w:val="a0"/>
    <w:link w:val="6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Exact">
    <w:name w:val="Основной текст (14) Exact"/>
    <w:basedOn w:val="a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3">
    <w:name w:val="Заголовок №4 (3)_"/>
    <w:basedOn w:val="a0"/>
    <w:link w:val="430"/>
    <w:rPr>
      <w:rFonts w:ascii="Trebuchet MS" w:eastAsia="Trebuchet MS" w:hAnsi="Trebuchet MS" w:cs="Trebuchet MS"/>
      <w:spacing w:val="-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rPr>
      <w:rFonts w:ascii="Corbel" w:eastAsia="Corbel" w:hAnsi="Corbel" w:cs="Corbel"/>
      <w:spacing w:val="-10"/>
      <w:sz w:val="24"/>
      <w:szCs w:val="24"/>
      <w:shd w:val="clear" w:color="auto" w:fill="FFFFFF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600" w:line="0" w:lineRule="atLeast"/>
      <w:outlineLvl w:val="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before="240" w:after="240" w:line="0" w:lineRule="atLeast"/>
      <w:jc w:val="both"/>
      <w:outlineLvl w:val="5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Corbel" w:eastAsia="Corbel" w:hAnsi="Corbel" w:cs="Corbel"/>
      <w:color w:val="auto"/>
      <w:spacing w:val="-10"/>
      <w:lang w:eastAsia="en-US" w:bidi="ar-SA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0" w:lineRule="atLeast"/>
      <w:outlineLvl w:val="3"/>
    </w:pPr>
    <w:rPr>
      <w:rFonts w:ascii="Trebuchet MS" w:eastAsia="Trebuchet MS" w:hAnsi="Trebuchet MS" w:cs="Trebuchet MS"/>
      <w:color w:val="auto"/>
      <w:spacing w:val="-20"/>
      <w:lang w:eastAsia="en-US" w:bidi="ar-S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4" w:lineRule="exact"/>
      <w:ind w:hanging="20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Подпись к таблице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0" w:lineRule="exact"/>
      <w:ind w:hanging="4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eastAsia="en-US" w:bidi="ar-SA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A59B-6D32-4130-82D1-5A29C0C9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obkboss</dc:creator>
  <cp:lastModifiedBy>Анохин Р.Е.</cp:lastModifiedBy>
  <cp:revision>16</cp:revision>
  <cp:lastPrinted>2016-10-11T09:38:00Z</cp:lastPrinted>
  <dcterms:created xsi:type="dcterms:W3CDTF">2016-10-11T09:44:00Z</dcterms:created>
  <dcterms:modified xsi:type="dcterms:W3CDTF">2023-02-10T08:44:00Z</dcterms:modified>
</cp:coreProperties>
</file>