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4C24" w:rsidRPr="00C55511" w:rsidRDefault="00424C24" w:rsidP="00424C24">
      <w:pPr>
        <w:rPr>
          <w:rFonts w:ascii="Arial" w:hAnsi="Arial"/>
          <w:color w:val="0000FF"/>
          <w:sz w:val="18"/>
        </w:rPr>
      </w:pPr>
      <w:r w:rsidRPr="00C555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EA60D" wp14:editId="07651459">
                <wp:simplePos x="0" y="0"/>
                <wp:positionH relativeFrom="column">
                  <wp:posOffset>1947705</wp:posOffset>
                </wp:positionH>
                <wp:positionV relativeFrom="paragraph">
                  <wp:posOffset>-108089</wp:posOffset>
                </wp:positionV>
                <wp:extent cx="3996000" cy="1684800"/>
                <wp:effectExtent l="0" t="0" r="2413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24" w:rsidRDefault="00424C24" w:rsidP="00424C24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24C24" w:rsidRPr="00CC108C" w:rsidRDefault="00424C24" w:rsidP="00424C2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ООО Банк "Элита".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 xml:space="preserve">Юридический адрес: 248000, г. Калуга, ул. Московская д.6. 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>ИНН/ОГРН: 4026005138/1024000001002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>Тел 8-4842-27-74-20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 xml:space="preserve">Официальный сайт: </w:t>
                            </w:r>
                          </w:p>
                          <w:p w:rsidR="00424C24" w:rsidRPr="00CC108C" w:rsidRDefault="00424C24" w:rsidP="00424C2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www.bankelita.ru.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>Лицензия № 1399 выдана Банком России 24.10.2018</w:t>
                            </w:r>
                          </w:p>
                          <w:p w:rsidR="00424C24" w:rsidRDefault="00424C24" w:rsidP="00424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A6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3.35pt;margin-top:-8.5pt;width:314.65pt;height:1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">
                <v:textbox>
                  <w:txbxContent>
                    <w:p w:rsidR="00424C24" w:rsidRDefault="00424C24" w:rsidP="00424C24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424C24" w:rsidRPr="00CC108C" w:rsidRDefault="00424C24" w:rsidP="00424C24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ООО Банк "Элита".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 xml:space="preserve">Юридический адрес: 248000, г. Калуга, ул. Московская д.6. 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>ИНН/ОГРН: 4026005138/1024000001002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>Тел 8-4842-27-74-20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 xml:space="preserve">Официальный сайт: </w:t>
                      </w:r>
                    </w:p>
                    <w:p w:rsidR="00424C24" w:rsidRPr="00CC108C" w:rsidRDefault="00424C24" w:rsidP="00424C24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www.bankelita.ru.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>Лицензия № 1399 выдана Банком России 24.10.2018</w:t>
                      </w:r>
                    </w:p>
                    <w:p w:rsidR="00424C24" w:rsidRDefault="00424C24" w:rsidP="00424C24"/>
                  </w:txbxContent>
                </v:textbox>
              </v:shape>
            </w:pict>
          </mc:Fallback>
        </mc:AlternateContent>
      </w:r>
      <w:r w:rsidRPr="00C55511">
        <w:rPr>
          <w:rFonts w:ascii="Arial" w:hAnsi="Arial"/>
          <w:noProof/>
          <w:color w:val="0000FF"/>
          <w:sz w:val="18"/>
        </w:rPr>
        <w:drawing>
          <wp:inline distT="0" distB="0" distL="0" distR="0" wp14:anchorId="4BCA42B8" wp14:editId="296E6303">
            <wp:extent cx="1137285" cy="1256030"/>
            <wp:effectExtent l="0" t="0" r="5715" b="1270"/>
            <wp:docPr id="3" name="Рисунок 3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C55511" w:rsidRDefault="00424C24" w:rsidP="00424C24">
      <w:pPr>
        <w:jc w:val="center"/>
        <w:rPr>
          <w:rFonts w:ascii="Arial" w:hAnsi="Arial"/>
          <w:color w:val="0000FF"/>
          <w:sz w:val="18"/>
        </w:rPr>
      </w:pPr>
    </w:p>
    <w:p w:rsidR="00424C24" w:rsidRPr="00576D18" w:rsidRDefault="00424C24" w:rsidP="00424C24">
      <w:pPr>
        <w:spacing w:line="480" w:lineRule="auto"/>
        <w:jc w:val="center"/>
        <w:rPr>
          <w:rFonts w:ascii="Courier New" w:hAnsi="Courier New" w:cs="Courier New"/>
          <w:b/>
        </w:rPr>
      </w:pPr>
      <w:r w:rsidRPr="00576D18">
        <w:rPr>
          <w:rFonts w:ascii="Courier New" w:hAnsi="Courier New" w:cs="Courier New"/>
          <w:b/>
        </w:rPr>
        <w:t>Паспорт продукта «</w:t>
      </w:r>
      <w:r w:rsidR="00110690" w:rsidRPr="00576D18">
        <w:rPr>
          <w:rFonts w:ascii="Courier New" w:hAnsi="Courier New" w:cs="Courier New"/>
          <w:b/>
        </w:rPr>
        <w:t xml:space="preserve">Вклад </w:t>
      </w:r>
      <w:r w:rsidRPr="00576D18">
        <w:rPr>
          <w:rFonts w:ascii="Courier New" w:hAnsi="Courier New" w:cs="Courier New"/>
          <w:b/>
        </w:rPr>
        <w:t>Пенсионный»</w:t>
      </w:r>
    </w:p>
    <w:p w:rsidR="00424C24" w:rsidRPr="00C55511" w:rsidRDefault="00424C24" w:rsidP="00424C24">
      <w:pPr>
        <w:jc w:val="center"/>
        <w:rPr>
          <w:rFonts w:ascii="Courier New" w:hAnsi="Courier New" w:cs="Courier New"/>
          <w:b/>
        </w:rPr>
      </w:pPr>
      <w:r w:rsidRPr="00576D18">
        <w:rPr>
          <w:rFonts w:ascii="Courier New" w:hAnsi="Courier New" w:cs="Courier New"/>
          <w:b/>
        </w:rPr>
        <w:t>Продукт «</w:t>
      </w:r>
      <w:r w:rsidR="00110690" w:rsidRPr="00576D18">
        <w:rPr>
          <w:rFonts w:ascii="Courier New" w:hAnsi="Courier New" w:cs="Courier New"/>
          <w:b/>
        </w:rPr>
        <w:t xml:space="preserve">Вклад </w:t>
      </w:r>
      <w:r w:rsidRPr="00576D18">
        <w:rPr>
          <w:rFonts w:ascii="Courier New" w:hAnsi="Courier New" w:cs="Courier New"/>
          <w:b/>
        </w:rPr>
        <w:t>Пенсионный»</w:t>
      </w:r>
    </w:p>
    <w:p w:rsidR="00424C24" w:rsidRPr="00C55511" w:rsidRDefault="00424C24" w:rsidP="00424C24">
      <w:pPr>
        <w:jc w:val="center"/>
        <w:rPr>
          <w:rFonts w:ascii="Courier New" w:hAnsi="Courier New" w:cs="Courier New"/>
        </w:rPr>
      </w:pPr>
    </w:p>
    <w:p w:rsidR="00424C24" w:rsidRPr="00C55511" w:rsidRDefault="00424C24" w:rsidP="00424C24">
      <w:pPr>
        <w:ind w:left="-709" w:right="-1044" w:firstLine="567"/>
        <w:jc w:val="both"/>
        <w:rPr>
          <w:rFonts w:ascii="Courier New" w:hAnsi="Courier New" w:cs="Courier New"/>
          <w:sz w:val="22"/>
          <w:szCs w:val="22"/>
        </w:rPr>
      </w:pPr>
      <w:r w:rsidRPr="00C55511">
        <w:rPr>
          <w:rFonts w:ascii="Courier New" w:hAnsi="Courier New" w:cs="Courier New"/>
          <w:sz w:val="22"/>
          <w:szCs w:val="22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424C24" w:rsidRPr="00C55511" w:rsidRDefault="00424C24" w:rsidP="00424C24">
      <w:pPr>
        <w:ind w:left="-709" w:right="-1044" w:firstLine="567"/>
        <w:jc w:val="both"/>
        <w:rPr>
          <w:rFonts w:ascii="Courier New" w:hAnsi="Courier New" w:cs="Courier New"/>
          <w:sz w:val="22"/>
          <w:szCs w:val="22"/>
        </w:rPr>
      </w:pPr>
      <w:r w:rsidRPr="00C55511">
        <w:rPr>
          <w:rFonts w:ascii="Courier New" w:hAnsi="Courier New" w:cs="Courier New"/>
          <w:sz w:val="22"/>
          <w:szCs w:val="22"/>
        </w:rPr>
        <w:t>Информация, указанная в документе, не является рекламой и носит исключительно справочный характер.</w:t>
      </w:r>
    </w:p>
    <w:p w:rsidR="00424C24" w:rsidRPr="00C55511" w:rsidRDefault="00424C24" w:rsidP="00424C24">
      <w:pPr>
        <w:spacing w:after="240"/>
        <w:ind w:left="-709" w:right="-1044" w:firstLine="567"/>
        <w:jc w:val="both"/>
        <w:rPr>
          <w:rFonts w:ascii="Courier New" w:hAnsi="Courier New" w:cs="Courier New"/>
          <w:sz w:val="22"/>
          <w:szCs w:val="22"/>
        </w:rPr>
      </w:pPr>
      <w:r w:rsidRPr="00C55511">
        <w:rPr>
          <w:rFonts w:ascii="Courier New" w:hAnsi="Courier New" w:cs="Courier New"/>
          <w:sz w:val="22"/>
          <w:szCs w:val="22"/>
        </w:rPr>
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Договоре банковского вклада </w:t>
      </w:r>
      <w:r w:rsidRPr="00576D18">
        <w:rPr>
          <w:rFonts w:ascii="Courier New" w:hAnsi="Courier New" w:cs="Courier New"/>
          <w:sz w:val="22"/>
          <w:szCs w:val="22"/>
        </w:rPr>
        <w:t>«</w:t>
      </w:r>
      <w:r w:rsidR="00110690" w:rsidRPr="00576D18">
        <w:rPr>
          <w:rFonts w:ascii="Courier New" w:hAnsi="Courier New" w:cs="Courier New"/>
          <w:sz w:val="22"/>
          <w:szCs w:val="22"/>
        </w:rPr>
        <w:t>Пенсионный</w:t>
      </w:r>
      <w:r w:rsidRPr="00576D18">
        <w:rPr>
          <w:rFonts w:ascii="Courier New" w:hAnsi="Courier New" w:cs="Courier New"/>
          <w:sz w:val="22"/>
          <w:szCs w:val="22"/>
        </w:rPr>
        <w:t>»</w:t>
      </w:r>
    </w:p>
    <w:p w:rsidR="00424C24" w:rsidRPr="00C55511" w:rsidRDefault="00424C24" w:rsidP="00424C24">
      <w:pPr>
        <w:ind w:left="-709" w:right="-1044" w:firstLine="567"/>
        <w:jc w:val="center"/>
        <w:rPr>
          <w:rFonts w:ascii="Courier New" w:hAnsi="Courier New" w:cs="Courier New"/>
          <w:b/>
          <w:sz w:val="22"/>
          <w:szCs w:val="22"/>
        </w:rPr>
      </w:pPr>
      <w:r w:rsidRPr="00C55511">
        <w:rPr>
          <w:rFonts w:ascii="Courier New" w:hAnsi="Courier New" w:cs="Courier New"/>
          <w:b/>
          <w:sz w:val="22"/>
          <w:szCs w:val="22"/>
        </w:rPr>
        <w:t>ОСНОВНЫЕ УСЛОВИЯ</w:t>
      </w:r>
    </w:p>
    <w:p w:rsidR="00424C24" w:rsidRPr="00C55511" w:rsidRDefault="00424C24" w:rsidP="00424C24">
      <w:pPr>
        <w:ind w:left="-709" w:right="-1044" w:firstLine="567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0065" w:type="dxa"/>
        <w:tblInd w:w="-709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424C24" w:rsidRPr="00C55511" w:rsidTr="00A41128">
        <w:trPr>
          <w:trHeight w:val="522"/>
        </w:trPr>
        <w:tc>
          <w:tcPr>
            <w:tcW w:w="10065" w:type="dxa"/>
            <w:tcBorders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424C24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Сумма вклада: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минимальная сумма вклада по договору банковского вклада </w:t>
            </w:r>
            <w:r w:rsidRPr="00424C24">
              <w:rPr>
                <w:rFonts w:ascii="Courier New" w:eastAsiaTheme="minorEastAsia" w:hAnsi="Courier New" w:cs="Courier New"/>
                <w:sz w:val="22"/>
                <w:szCs w:val="22"/>
              </w:rPr>
              <w:t>«</w:t>
            </w:r>
            <w:r w:rsidRPr="00424C24">
              <w:rPr>
                <w:rFonts w:ascii="Courier New" w:hAnsi="Courier New" w:cs="Courier New"/>
              </w:rPr>
              <w:t>Пенсионный</w:t>
            </w:r>
            <w:r w:rsidRPr="00424C24">
              <w:rPr>
                <w:rFonts w:ascii="Courier New" w:eastAsiaTheme="minorEastAsia" w:hAnsi="Courier New" w:cs="Courier New"/>
                <w:sz w:val="22"/>
                <w:szCs w:val="22"/>
              </w:rPr>
              <w:t>»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составляет 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000,00 рублей.</w:t>
            </w:r>
          </w:p>
        </w:tc>
      </w:tr>
      <w:tr w:rsidR="00424C24" w:rsidRPr="00C55511" w:rsidTr="00A41128"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A41128">
            <w:pPr>
              <w:widowControl w:val="0"/>
              <w:autoSpaceDE w:val="0"/>
              <w:autoSpaceDN w:val="0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Валюта вклада: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российские рубли.</w:t>
            </w: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424C24" w:rsidRPr="00C55511" w:rsidTr="00A41128"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424C24">
            <w:pPr>
              <w:widowControl w:val="0"/>
              <w:autoSpaceDE w:val="0"/>
              <w:autoSpaceDN w:val="0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Срок вклада: 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1100</w:t>
            </w:r>
            <w:r w:rsidRPr="009201B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дней.</w:t>
            </w:r>
          </w:p>
        </w:tc>
      </w:tr>
      <w:tr w:rsidR="00424C24" w:rsidRPr="00C55511" w:rsidTr="00A41128">
        <w:trPr>
          <w:trHeight w:val="491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:rsidR="00424C24" w:rsidRPr="00C55511" w:rsidRDefault="00424C24" w:rsidP="00110690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Возможность дистанционного обслуживания: </w:t>
            </w:r>
            <w:r w:rsidR="00110690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возможно</w:t>
            </w: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Ознакомьтесь с УСЛОВИЯМИ дистанционного банковского обслуживания физических лиц в ООО банк «Элита»</w:t>
            </w:r>
          </w:p>
        </w:tc>
      </w:tr>
      <w:tr w:rsidR="00424C24" w:rsidRPr="009E25A4" w:rsidTr="00A41128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9E25A4" w:rsidRDefault="00424C24" w:rsidP="00576D18">
            <w:pPr>
              <w:contextualSpacing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Необходимость заключения иных договоров: </w:t>
            </w:r>
            <w:r w:rsidR="00576D18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отсутствует</w:t>
            </w:r>
            <w:r w:rsidR="00576D18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</w:p>
        </w:tc>
      </w:tr>
      <w:tr w:rsidR="00424C24" w:rsidRPr="00C55511" w:rsidTr="00A41128">
        <w:trPr>
          <w:trHeight w:val="47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A41128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ПРОЦЕНТЫ ПО ВКЛАДУ</w:t>
            </w:r>
          </w:p>
        </w:tc>
      </w:tr>
      <w:tr w:rsidR="00424C24" w:rsidRPr="00C55511" w:rsidTr="00A41128">
        <w:trPr>
          <w:trHeight w:val="8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966B63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Минимальная гарантированная ставка</w:t>
            </w:r>
            <w:r w:rsidRPr="009E25A4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по вкладу</w:t>
            </w: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: 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6,</w:t>
            </w:r>
            <w:r w:rsidR="004A6403">
              <w:rPr>
                <w:rFonts w:ascii="Courier New" w:eastAsiaTheme="minorEastAsia" w:hAnsi="Courier New" w:cs="Courier New"/>
                <w:sz w:val="22"/>
                <w:szCs w:val="22"/>
              </w:rPr>
              <w:t>9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00 %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годовых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(</w:t>
            </w:r>
            <w:r w:rsidRPr="009E25A4">
              <w:rPr>
                <w:rFonts w:ascii="Courier New" w:eastAsiaTheme="minorEastAsia" w:hAnsi="Courier New" w:cs="Courier New"/>
                <w:bCs/>
                <w:sz w:val="22"/>
                <w:szCs w:val="22"/>
              </w:rPr>
              <w:t>при условии хранения денежных средств до истечения срока вклада)</w:t>
            </w:r>
          </w:p>
        </w:tc>
      </w:tr>
      <w:tr w:rsidR="00424C24" w:rsidRPr="00C55511" w:rsidTr="00A41128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966B63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Максимально возможная процентная ставка: </w:t>
            </w:r>
            <w:r w:rsidR="00966B63">
              <w:rPr>
                <w:rFonts w:ascii="Courier New" w:eastAsiaTheme="minorEastAsia" w:hAnsi="Courier New" w:cs="Courier New"/>
                <w:sz w:val="22"/>
                <w:szCs w:val="22"/>
              </w:rPr>
              <w:t>6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,</w:t>
            </w:r>
            <w:r w:rsidR="004A6403">
              <w:rPr>
                <w:rFonts w:ascii="Courier New" w:eastAsiaTheme="minorEastAsia" w:hAnsi="Courier New" w:cs="Courier New"/>
                <w:sz w:val="22"/>
                <w:szCs w:val="22"/>
              </w:rPr>
              <w:t>9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%  годовых</w:t>
            </w:r>
          </w:p>
        </w:tc>
      </w:tr>
      <w:tr w:rsidR="00424C24" w:rsidRPr="00C55511" w:rsidTr="00A41128">
        <w:trPr>
          <w:trHeight w:val="1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A41128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Дополнительные условия, влияющие на процентную ставку: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отсутствуют</w:t>
            </w:r>
          </w:p>
        </w:tc>
      </w:tr>
      <w:tr w:rsidR="00424C24" w:rsidRPr="00C55511" w:rsidTr="00A41128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576D18" w:rsidRDefault="00424C24" w:rsidP="004D6D13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hAnsi="Courier New" w:cs="Courier New"/>
                <w:b/>
                <w:sz w:val="22"/>
                <w:szCs w:val="22"/>
              </w:rPr>
              <w:t xml:space="preserve">Порядок начисления и получения процентов: </w:t>
            </w:r>
            <w:r w:rsidR="004D6D13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Выплата </w:t>
            </w:r>
            <w:r w:rsidR="00F16D5C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процентов (</w:t>
            </w:r>
            <w:r w:rsidR="004D6D13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дохода</w:t>
            </w:r>
            <w:r w:rsidR="00F16D5C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)</w:t>
            </w:r>
            <w:r w:rsidR="004D6D13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по вкладу производится по окончанию календарного месяца ежемесячно и по истечении срока хранения вклада, а также по окончании пролонгированного срока. Начисленные, но невыплаченные проценты, причисляются к основной сумме вклада.</w:t>
            </w:r>
          </w:p>
          <w:p w:rsidR="003C53A8" w:rsidRPr="00576D18" w:rsidRDefault="003C53A8" w:rsidP="003C53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6D18">
              <w:rPr>
                <w:rFonts w:ascii="Courier New" w:hAnsi="Courier New" w:cs="Courier New"/>
                <w:sz w:val="22"/>
                <w:szCs w:val="22"/>
              </w:rPr>
              <w:t xml:space="preserve">   В случае востребования Вкладчиком всей суммы вклада до дня окончания срока вклада или пролонгированного срока доход за последний неполный календарный месяц хранения вклада выплачивается  по ставке вклада «До востребования» на </w:t>
            </w:r>
            <w:r w:rsidRPr="00576D18">
              <w:rPr>
                <w:rFonts w:ascii="Courier New" w:hAnsi="Courier New" w:cs="Courier New"/>
                <w:sz w:val="22"/>
                <w:szCs w:val="22"/>
              </w:rPr>
              <w:lastRenderedPageBreak/>
              <w:t>день возврата вклада, начисленные проценты за предыдущие месяцы хранения вклада не пересчитываются.</w:t>
            </w:r>
          </w:p>
        </w:tc>
      </w:tr>
      <w:tr w:rsidR="00424C24" w:rsidRPr="00C55511" w:rsidTr="00A41128">
        <w:trPr>
          <w:trHeight w:val="46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D13" w:rsidRPr="00576D18" w:rsidRDefault="004D6D13" w:rsidP="004D6D13">
            <w:pPr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lastRenderedPageBreak/>
              <w:t xml:space="preserve">Возможность пополнения: </w:t>
            </w:r>
          </w:p>
          <w:p w:rsidR="004D6D13" w:rsidRPr="00576D18" w:rsidRDefault="004D6D13" w:rsidP="003C53A8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Периодичность внесения дополнительных взносов не ограничивается.</w:t>
            </w:r>
          </w:p>
          <w:p w:rsidR="00424C24" w:rsidRPr="00576D18" w:rsidRDefault="004D6D13" w:rsidP="003C53A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Дополнительные взносы  наличными денежными средствами принимаются во вклад. в суммах не менее 1000 рублей и комиссией не облагаются</w:t>
            </w:r>
          </w:p>
        </w:tc>
      </w:tr>
      <w:tr w:rsidR="00424C24" w:rsidRPr="00C55511" w:rsidTr="00A41128">
        <w:trPr>
          <w:trHeight w:val="4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4D6D1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Расходные операции: </w:t>
            </w:r>
            <w:r w:rsidR="004D6D13" w:rsidRPr="004D6D13">
              <w:rPr>
                <w:rFonts w:ascii="Courier New" w:eastAsiaTheme="minorEastAsia" w:hAnsi="Courier New" w:cs="Courier New"/>
                <w:sz w:val="22"/>
                <w:szCs w:val="22"/>
              </w:rPr>
              <w:t>Допускаются расходные операции по вкладу в пределах неснижаемого остатка</w:t>
            </w:r>
            <w:r w:rsidR="004D6D13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  <w:r w:rsidR="004D6D13" w:rsidRPr="004D6D13">
              <w:rPr>
                <w:rFonts w:ascii="Courier New" w:eastAsiaTheme="minorEastAsia" w:hAnsi="Courier New" w:cs="Courier New"/>
                <w:sz w:val="22"/>
                <w:szCs w:val="22"/>
              </w:rPr>
              <w:t>без потери процентной ставки.</w:t>
            </w:r>
          </w:p>
        </w:tc>
      </w:tr>
      <w:tr w:rsidR="00424C24" w:rsidRPr="00C55511" w:rsidTr="00A41128">
        <w:trPr>
          <w:trHeight w:val="4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A41128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  <w:highlight w:val="yellow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ПРЕКРАЩЕНИЕ ДОГОВОРА ВКЛАДА</w:t>
            </w:r>
          </w:p>
        </w:tc>
      </w:tr>
      <w:tr w:rsidR="00424C24" w:rsidRPr="00C55511" w:rsidTr="00A41128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По инициативе кредитной организации: </w:t>
            </w: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Прекращение договора Вклада по инициативе Банка возможно в соответствии с законодательством Российской Федерации.</w:t>
            </w:r>
          </w:p>
          <w:p w:rsidR="00424C24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  <w:p w:rsidR="00424C24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По инициативе клиента: </w:t>
            </w:r>
            <w:r w:rsidRPr="00576D18">
              <w:rPr>
                <w:rFonts w:ascii="Courier New" w:hAnsi="Courier New" w:cs="Courier New"/>
                <w:sz w:val="22"/>
                <w:szCs w:val="22"/>
              </w:rPr>
              <w:t>Вкладчик вправе расторгнуть Договор вклада в любое время в течение срока действия Договора при условии личного обращения в Банк с целью расторжения Договора вклада.  Банк осуществляет выдачу наличных денежных средств через кассу Банка в соответствии с условиями досрочного расторжения договора вклада, либо на Счет банка РФ указанный при расторжении договора вклада.</w:t>
            </w:r>
          </w:p>
          <w:p w:rsidR="00424C24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  <w:p w:rsidR="00424C24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Если срок вклада закончился:   </w:t>
            </w:r>
          </w:p>
          <w:p w:rsidR="003E2BC8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 Договор пролонгируется </w:t>
            </w:r>
            <w:r w:rsidR="003C53A8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неоднократно без явки Вкладчика в Банк на условиях и под процентную ставку, действующие в Банке по Пенсионному вкладу на день, следующий за датой окончания предыдущего срока хранения вклада</w:t>
            </w:r>
            <w:r w:rsidR="00CC60DB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</w:p>
          <w:p w:rsidR="00424C24" w:rsidRPr="00576D18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  <w:r w:rsidR="003E2BC8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В случае принятия Банком решения о прекращении открытия новых счетов по данному виду вклада вклад пролонгируется на условиях вклада «До востребования».</w:t>
            </w:r>
          </w:p>
        </w:tc>
      </w:tr>
      <w:tr w:rsidR="00424C24" w:rsidRPr="00C55511" w:rsidTr="00A41128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576D18" w:rsidRDefault="00424C24" w:rsidP="00A41128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РАСХОДЫ ПОТРЕБИТЕЛЯ</w:t>
            </w:r>
          </w:p>
        </w:tc>
      </w:tr>
      <w:tr w:rsidR="00424C24" w:rsidRPr="00C8343F" w:rsidTr="00A41128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3F" w:rsidRPr="00576D18" w:rsidRDefault="00C8343F" w:rsidP="00C8343F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Дополнительные взносы во вклад, поступившие безналичным путем в пользу Вкладчика от иных организаций, кроме Пенсионного фонда РФ, негосударственных Пенсионных фондов, благотворительных и иных специализированных организаций, а также банков, зачисляются во вклад с уплатой комиссии в соответствии с Тарифами Банка на день поступления денежных средств на счет Вкладчика.</w:t>
            </w:r>
            <w:r w:rsidR="00424C24" w:rsidRPr="00576D18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  </w:t>
            </w:r>
          </w:p>
          <w:p w:rsidR="00424C24" w:rsidRPr="00576D18" w:rsidRDefault="00C8343F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576D18">
              <w:rPr>
                <w:rFonts w:ascii="Courier New" w:hAnsi="Courier New" w:cs="Courier New"/>
                <w:sz w:val="22"/>
              </w:rPr>
              <w:t xml:space="preserve">   </w:t>
            </w:r>
            <w:r w:rsidR="00424C24" w:rsidRPr="00576D18">
              <w:rPr>
                <w:rFonts w:ascii="Courier New" w:hAnsi="Courier New" w:cs="Courier New"/>
                <w:sz w:val="22"/>
              </w:rPr>
              <w:t>Отдельные услуги предоставляются "Банком" "Вкладчику" на возмездной основе в соответствии с тарифами, действующими в "Банке" на день предоставления услуги.</w:t>
            </w:r>
          </w:p>
        </w:tc>
      </w:tr>
      <w:tr w:rsidR="00424C24" w:rsidRPr="00C55511" w:rsidTr="00A41128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C55511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         СТРАХОВАНИЕ ДЕНЕЖНЫХ СРЕДСТВ, РАЗМЕЩЕННЫХ ВО ВКЛАД</w:t>
            </w:r>
          </w:p>
        </w:tc>
      </w:tr>
      <w:tr w:rsidR="00424C24" w:rsidRPr="00C55511" w:rsidTr="00A41128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C24" w:rsidRPr="009E25A4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Денежные средства по совокупности вкладов и остатков по всем счетам в Банке застрахованы в пределах 1,4 млн рублей в соответствии с Федеральным законом от 23.12.2003 N177 - ФЗ "О страховании вкладов физических лиц в банках Российской Федерации"</w:t>
            </w:r>
          </w:p>
          <w:p w:rsidR="00424C24" w:rsidRPr="009E25A4" w:rsidRDefault="00424C24" w:rsidP="00A41128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ОБРАЩАЕМ ВНИМАНИЕ</w:t>
            </w:r>
          </w:p>
          <w:p w:rsidR="00424C24" w:rsidRPr="009E25A4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   Банк не вправе в одностороннем порядке (в пределах срока вклада):</w:t>
            </w:r>
          </w:p>
          <w:p w:rsidR="00424C24" w:rsidRPr="009E25A4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изменять процентную ставку по вкладу в период действия договора в сторону ее уменьшения;</w:t>
            </w:r>
          </w:p>
          <w:p w:rsidR="00424C24" w:rsidRPr="009E25A4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:rsidR="00424C24" w:rsidRPr="009E25A4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- изменять срок действия договора;</w:t>
            </w:r>
          </w:p>
          <w:p w:rsidR="00424C24" w:rsidRPr="00C55511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- увеличивать или устанавливать комиссионное вознаграждение по операциям по 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lastRenderedPageBreak/>
              <w:t>продукту</w:t>
            </w:r>
          </w:p>
        </w:tc>
      </w:tr>
      <w:tr w:rsidR="00424C24" w:rsidRPr="00C55511" w:rsidTr="00A41128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C24" w:rsidRPr="00C55511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lastRenderedPageBreak/>
              <w:t xml:space="preserve">                      Способы направления обращений в Банк</w:t>
            </w:r>
          </w:p>
          <w:p w:rsidR="00424C24" w:rsidRPr="00C55511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  <w:p w:rsidR="00424C24" w:rsidRPr="00C55511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Вкладчик может направить письменное обращение в Банк</w:t>
            </w:r>
            <w:r w:rsidRPr="00C555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посредством почтовой связи, по адресу, указанному в договоре, либо через сайт Банка в разделе «Обратная связь», а также предоставить его в офис Банка.  </w:t>
            </w:r>
          </w:p>
          <w:p w:rsidR="00424C24" w:rsidRPr="00C55511" w:rsidRDefault="00424C24" w:rsidP="00A41128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</w:tc>
      </w:tr>
    </w:tbl>
    <w:p w:rsidR="00424C24" w:rsidRPr="00C55511" w:rsidRDefault="00424C24" w:rsidP="00424C24">
      <w:pPr>
        <w:pStyle w:val="a5"/>
        <w:rPr>
          <w:sz w:val="18"/>
          <w:szCs w:val="18"/>
          <w:highlight w:val="yellow"/>
        </w:rPr>
      </w:pPr>
      <w:r w:rsidRPr="00C55511">
        <w:rPr>
          <w:sz w:val="18"/>
          <w:szCs w:val="18"/>
          <w:highlight w:val="yellow"/>
        </w:rPr>
        <w:t xml:space="preserve">                  </w:t>
      </w:r>
    </w:p>
    <w:p w:rsidR="00424C24" w:rsidRPr="00C55511" w:rsidRDefault="00424C24" w:rsidP="00424C24">
      <w:pPr>
        <w:pStyle w:val="a5"/>
        <w:rPr>
          <w:sz w:val="18"/>
          <w:szCs w:val="18"/>
          <w:highlight w:val="yellow"/>
        </w:rPr>
      </w:pPr>
    </w:p>
    <w:sectPr w:rsidR="00424C24" w:rsidRPr="00C55511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615"/>
    <w:multiLevelType w:val="hybridMultilevel"/>
    <w:tmpl w:val="1974C656"/>
    <w:lvl w:ilvl="0" w:tplc="7438E61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19B6C6A0">
      <w:numFmt w:val="none"/>
      <w:lvlText w:val=""/>
      <w:lvlJc w:val="left"/>
      <w:pPr>
        <w:tabs>
          <w:tab w:val="num" w:pos="360"/>
        </w:tabs>
      </w:pPr>
    </w:lvl>
    <w:lvl w:ilvl="2" w:tplc="84C61B3A">
      <w:numFmt w:val="none"/>
      <w:lvlText w:val=""/>
      <w:lvlJc w:val="left"/>
      <w:pPr>
        <w:tabs>
          <w:tab w:val="num" w:pos="360"/>
        </w:tabs>
      </w:pPr>
    </w:lvl>
    <w:lvl w:ilvl="3" w:tplc="F0FC94FE">
      <w:numFmt w:val="none"/>
      <w:lvlText w:val=""/>
      <w:lvlJc w:val="left"/>
      <w:pPr>
        <w:tabs>
          <w:tab w:val="num" w:pos="360"/>
        </w:tabs>
      </w:pPr>
    </w:lvl>
    <w:lvl w:ilvl="4" w:tplc="463CF594">
      <w:numFmt w:val="none"/>
      <w:lvlText w:val=""/>
      <w:lvlJc w:val="left"/>
      <w:pPr>
        <w:tabs>
          <w:tab w:val="num" w:pos="360"/>
        </w:tabs>
      </w:pPr>
    </w:lvl>
    <w:lvl w:ilvl="5" w:tplc="E3C49258">
      <w:numFmt w:val="none"/>
      <w:lvlText w:val=""/>
      <w:lvlJc w:val="left"/>
      <w:pPr>
        <w:tabs>
          <w:tab w:val="num" w:pos="360"/>
        </w:tabs>
      </w:pPr>
    </w:lvl>
    <w:lvl w:ilvl="6" w:tplc="E396B680">
      <w:numFmt w:val="none"/>
      <w:lvlText w:val=""/>
      <w:lvlJc w:val="left"/>
      <w:pPr>
        <w:tabs>
          <w:tab w:val="num" w:pos="360"/>
        </w:tabs>
      </w:pPr>
    </w:lvl>
    <w:lvl w:ilvl="7" w:tplc="D58C1592">
      <w:numFmt w:val="none"/>
      <w:lvlText w:val=""/>
      <w:lvlJc w:val="left"/>
      <w:pPr>
        <w:tabs>
          <w:tab w:val="num" w:pos="360"/>
        </w:tabs>
      </w:pPr>
    </w:lvl>
    <w:lvl w:ilvl="8" w:tplc="F26E26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33D1F"/>
    <w:rsid w:val="00050B30"/>
    <w:rsid w:val="00054383"/>
    <w:rsid w:val="00086185"/>
    <w:rsid w:val="00110690"/>
    <w:rsid w:val="0014005B"/>
    <w:rsid w:val="0019230E"/>
    <w:rsid w:val="00192B0A"/>
    <w:rsid w:val="001E77CD"/>
    <w:rsid w:val="00205DD3"/>
    <w:rsid w:val="002333A3"/>
    <w:rsid w:val="002B63A3"/>
    <w:rsid w:val="002C048A"/>
    <w:rsid w:val="002D002E"/>
    <w:rsid w:val="003B7EFF"/>
    <w:rsid w:val="003C53A8"/>
    <w:rsid w:val="003E2BC8"/>
    <w:rsid w:val="003F24F2"/>
    <w:rsid w:val="004056DE"/>
    <w:rsid w:val="00424C24"/>
    <w:rsid w:val="00426B7E"/>
    <w:rsid w:val="004613AE"/>
    <w:rsid w:val="004A6403"/>
    <w:rsid w:val="004D6D13"/>
    <w:rsid w:val="00576D18"/>
    <w:rsid w:val="0074147E"/>
    <w:rsid w:val="007966F6"/>
    <w:rsid w:val="007A1611"/>
    <w:rsid w:val="00801B13"/>
    <w:rsid w:val="0083085B"/>
    <w:rsid w:val="0083117C"/>
    <w:rsid w:val="00833D1B"/>
    <w:rsid w:val="008D724A"/>
    <w:rsid w:val="008E6CC5"/>
    <w:rsid w:val="008F2510"/>
    <w:rsid w:val="00966B63"/>
    <w:rsid w:val="00996480"/>
    <w:rsid w:val="009C5A4E"/>
    <w:rsid w:val="00A04082"/>
    <w:rsid w:val="00A04B9A"/>
    <w:rsid w:val="00A075CC"/>
    <w:rsid w:val="00A445BB"/>
    <w:rsid w:val="00A52672"/>
    <w:rsid w:val="00A67538"/>
    <w:rsid w:val="00A85734"/>
    <w:rsid w:val="00AB5F7E"/>
    <w:rsid w:val="00AD66A7"/>
    <w:rsid w:val="00B038EE"/>
    <w:rsid w:val="00B37D74"/>
    <w:rsid w:val="00B731A6"/>
    <w:rsid w:val="00B74D83"/>
    <w:rsid w:val="00B93342"/>
    <w:rsid w:val="00C015C6"/>
    <w:rsid w:val="00C542B4"/>
    <w:rsid w:val="00C62AF9"/>
    <w:rsid w:val="00C74EF5"/>
    <w:rsid w:val="00C8343F"/>
    <w:rsid w:val="00CC0E24"/>
    <w:rsid w:val="00CC60DB"/>
    <w:rsid w:val="00D30B40"/>
    <w:rsid w:val="00D85F81"/>
    <w:rsid w:val="00E30203"/>
    <w:rsid w:val="00E41195"/>
    <w:rsid w:val="00E95939"/>
    <w:rsid w:val="00EB0E6E"/>
    <w:rsid w:val="00ED5123"/>
    <w:rsid w:val="00F154AE"/>
    <w:rsid w:val="00F1558D"/>
    <w:rsid w:val="00F16D5C"/>
    <w:rsid w:val="00FB7EF0"/>
    <w:rsid w:val="00FD414C"/>
    <w:rsid w:val="00FD7667"/>
    <w:rsid w:val="00FE69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A9FD-D28E-42E3-ACD2-31D59C3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2</cp:revision>
  <cp:lastPrinted>2022-09-30T12:10:00Z</cp:lastPrinted>
  <dcterms:created xsi:type="dcterms:W3CDTF">2023-11-01T06:42:00Z</dcterms:created>
  <dcterms:modified xsi:type="dcterms:W3CDTF">2023-11-01T06:42:00Z</dcterms:modified>
</cp:coreProperties>
</file>