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BC" w:rsidRPr="00C55511" w:rsidRDefault="009201BC" w:rsidP="009201BC">
      <w:pPr>
        <w:rPr>
          <w:rFonts w:ascii="Arial" w:hAnsi="Arial"/>
          <w:color w:val="0000FF"/>
          <w:sz w:val="18"/>
        </w:rPr>
      </w:pPr>
      <w:r w:rsidRPr="00C555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8F3BF" wp14:editId="0A8BB9B6">
                <wp:simplePos x="0" y="0"/>
                <wp:positionH relativeFrom="column">
                  <wp:posOffset>1947705</wp:posOffset>
                </wp:positionH>
                <wp:positionV relativeFrom="paragraph">
                  <wp:posOffset>-108089</wp:posOffset>
                </wp:positionV>
                <wp:extent cx="3996000" cy="1684800"/>
                <wp:effectExtent l="0" t="0" r="24130" b="1079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000" cy="168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01BC" w:rsidRDefault="009201BC" w:rsidP="009201BC">
                            <w:pPr>
                              <w:rPr>
                                <w:rFonts w:ascii="Courier New" w:hAnsi="Courier New" w:cs="Courier Ne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ООО Банк "Элита".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Юридический адрес: 248000, г. Калуга, ул. Московская д.6. 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ИНН/ОГРН: 4026005138/1024000001002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Тел 8-4842-27-74-20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 xml:space="preserve">Официальный сайт: </w:t>
                            </w:r>
                          </w:p>
                          <w:p w:rsidR="009201BC" w:rsidRPr="00CC108C" w:rsidRDefault="009201BC" w:rsidP="009201BC">
                            <w:pPr>
                              <w:jc w:val="center"/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</w:pP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t>www.bankelita.ru.</w:t>
                            </w:r>
                            <w:r w:rsidRPr="00CC108C">
                              <w:rPr>
                                <w:rFonts w:ascii="Courier New" w:hAnsi="Courier New" w:cs="Courier New"/>
                                <w:sz w:val="22"/>
                                <w:szCs w:val="22"/>
                              </w:rPr>
                              <w:br/>
                              <w:t>Лицензия № 1399 выдана Банком России 24.10.2018</w:t>
                            </w:r>
                          </w:p>
                          <w:p w:rsidR="009201BC" w:rsidRDefault="009201BC" w:rsidP="00920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8F3B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3.35pt;margin-top:-8.5pt;width:314.65pt;height:1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">
                <v:textbox>
                  <w:txbxContent>
                    <w:p w:rsidR="009201BC" w:rsidRDefault="009201BC" w:rsidP="009201BC">
                      <w:pPr>
                        <w:rPr>
                          <w:rFonts w:ascii="Courier New" w:hAnsi="Courier New" w:cs="Courier New"/>
                          <w:b/>
                          <w:sz w:val="18"/>
                          <w:szCs w:val="18"/>
                        </w:rPr>
                      </w:pP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ООО Банк "Элита".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Юридический адрес: 248000, г. Калуга, ул. Московская д.6. 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ИНН/ОГРН: 4026005138/1024000001002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Тел 8-4842-27-74-20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 xml:space="preserve">Официальный сайт: </w:t>
                      </w:r>
                    </w:p>
                    <w:p w:rsidR="009201BC" w:rsidRPr="00CC108C" w:rsidRDefault="009201BC" w:rsidP="009201BC">
                      <w:pPr>
                        <w:jc w:val="center"/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</w:pP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t>www.bankelita.ru.</w:t>
                      </w:r>
                      <w:r w:rsidRPr="00CC108C">
                        <w:rPr>
                          <w:rFonts w:ascii="Courier New" w:hAnsi="Courier New" w:cs="Courier New"/>
                          <w:sz w:val="22"/>
                          <w:szCs w:val="22"/>
                        </w:rPr>
                        <w:br/>
                        <w:t>Лицензия № 1399 выдана Банком России 24.10.2018</w:t>
                      </w:r>
                    </w:p>
                    <w:p w:rsidR="009201BC" w:rsidRDefault="009201BC" w:rsidP="009201BC"/>
                  </w:txbxContent>
                </v:textbox>
              </v:shape>
            </w:pict>
          </mc:Fallback>
        </mc:AlternateContent>
      </w:r>
      <w:r w:rsidRPr="00C55511">
        <w:rPr>
          <w:rFonts w:ascii="Arial" w:hAnsi="Arial"/>
          <w:noProof/>
          <w:color w:val="0000FF"/>
          <w:sz w:val="18"/>
        </w:rPr>
        <w:drawing>
          <wp:inline distT="0" distB="0" distL="0" distR="0" wp14:anchorId="2D602DFF" wp14:editId="5DD14FEC">
            <wp:extent cx="1137285" cy="1256030"/>
            <wp:effectExtent l="0" t="0" r="5715" b="1270"/>
            <wp:docPr id="3" name="Рисунок 3" descr="ВЮ_лого_послп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Ю_лого_послпер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28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C55511" w:rsidRDefault="009201BC" w:rsidP="009201BC">
      <w:pPr>
        <w:jc w:val="center"/>
        <w:rPr>
          <w:rFonts w:ascii="Arial" w:hAnsi="Arial"/>
          <w:color w:val="0000FF"/>
          <w:sz w:val="18"/>
        </w:rPr>
      </w:pPr>
    </w:p>
    <w:p w:rsidR="009201BC" w:rsidRPr="00A92994" w:rsidRDefault="009201BC" w:rsidP="009201BC">
      <w:pPr>
        <w:spacing w:line="480" w:lineRule="auto"/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Паспорт продукта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  <w:b/>
        </w:rPr>
      </w:pPr>
      <w:r w:rsidRPr="00A92994">
        <w:rPr>
          <w:rFonts w:ascii="Courier New" w:hAnsi="Courier New" w:cs="Courier New"/>
          <w:b/>
        </w:rPr>
        <w:t>Продукт «</w:t>
      </w:r>
      <w:r w:rsidR="003D6C96" w:rsidRPr="00A92994">
        <w:rPr>
          <w:rFonts w:ascii="Courier New" w:hAnsi="Courier New" w:cs="Courier New"/>
          <w:b/>
        </w:rPr>
        <w:t xml:space="preserve">Вклад </w:t>
      </w:r>
      <w:r w:rsidRPr="00A92994">
        <w:rPr>
          <w:rFonts w:ascii="Courier New" w:hAnsi="Courier New" w:cs="Courier New"/>
          <w:b/>
        </w:rPr>
        <w:t>Оптимальный»</w:t>
      </w:r>
    </w:p>
    <w:p w:rsidR="009201BC" w:rsidRPr="00C55511" w:rsidRDefault="009201BC" w:rsidP="009201BC">
      <w:pPr>
        <w:jc w:val="center"/>
        <w:rPr>
          <w:rFonts w:ascii="Courier New" w:hAnsi="Courier New" w:cs="Courier New"/>
        </w:rPr>
      </w:pP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</w:p>
    <w:p w:rsidR="009201BC" w:rsidRPr="00C55511" w:rsidRDefault="009201BC" w:rsidP="009201BC">
      <w:pPr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Информация, указанная в документе, не является рекламой и носит исключительно справочный характер.</w:t>
      </w:r>
    </w:p>
    <w:p w:rsidR="009201BC" w:rsidRPr="00C55511" w:rsidRDefault="009201BC" w:rsidP="009201BC">
      <w:pPr>
        <w:spacing w:after="240"/>
        <w:ind w:left="-709" w:right="-1044" w:firstLine="567"/>
        <w:jc w:val="both"/>
        <w:rPr>
          <w:rFonts w:ascii="Courier New" w:hAnsi="Courier New" w:cs="Courier New"/>
          <w:sz w:val="22"/>
          <w:szCs w:val="22"/>
        </w:rPr>
      </w:pPr>
      <w:r w:rsidRPr="00C55511">
        <w:rPr>
          <w:rFonts w:ascii="Courier New" w:hAnsi="Courier New" w:cs="Courier New"/>
          <w:sz w:val="22"/>
          <w:szCs w:val="22"/>
        </w:rPr>
        <w:t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Договоре банковского вклада «</w:t>
      </w:r>
      <w:r w:rsidR="00385DD7">
        <w:rPr>
          <w:rFonts w:ascii="Courier New" w:hAnsi="Courier New" w:cs="Courier New"/>
          <w:sz w:val="22"/>
          <w:szCs w:val="22"/>
        </w:rPr>
        <w:t>Оптимальный</w:t>
      </w:r>
      <w:r w:rsidRPr="00C55511">
        <w:rPr>
          <w:rFonts w:ascii="Courier New" w:hAnsi="Courier New" w:cs="Courier New"/>
          <w:sz w:val="22"/>
          <w:szCs w:val="22"/>
        </w:rPr>
        <w:t>»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  <w:r w:rsidRPr="00C55511">
        <w:rPr>
          <w:rFonts w:ascii="Courier New" w:hAnsi="Courier New" w:cs="Courier New"/>
          <w:b/>
          <w:sz w:val="22"/>
          <w:szCs w:val="22"/>
        </w:rPr>
        <w:t>ОСНОВНЫЕ УСЛОВИЯ</w:t>
      </w:r>
    </w:p>
    <w:p w:rsidR="009201BC" w:rsidRPr="00C55511" w:rsidRDefault="009201BC" w:rsidP="009201BC">
      <w:pPr>
        <w:ind w:left="-709" w:right="-1044" w:firstLine="567"/>
        <w:jc w:val="center"/>
        <w:rPr>
          <w:rFonts w:ascii="Courier New" w:hAnsi="Courier New" w:cs="Courier New"/>
          <w:b/>
          <w:sz w:val="22"/>
          <w:szCs w:val="22"/>
        </w:rPr>
      </w:pPr>
    </w:p>
    <w:tbl>
      <w:tblPr>
        <w:tblW w:w="10065" w:type="dxa"/>
        <w:tblInd w:w="-709" w:type="dxa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5"/>
      </w:tblGrid>
      <w:tr w:rsidR="009201BC" w:rsidRPr="00C55511" w:rsidTr="00DF78E8">
        <w:trPr>
          <w:trHeight w:val="522"/>
        </w:trPr>
        <w:tc>
          <w:tcPr>
            <w:tcW w:w="10065" w:type="dxa"/>
            <w:tcBorders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9201BC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Сумма вклада: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минимальная сумма вклада по договору банковского вклада «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Оптимальный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» составляет </w:t>
            </w:r>
            <w:r>
              <w:rPr>
                <w:rFonts w:ascii="Courier New" w:eastAsiaTheme="minorEastAsia" w:hAnsi="Courier New" w:cs="Courier New"/>
                <w:sz w:val="22"/>
                <w:szCs w:val="22"/>
              </w:rPr>
              <w:t>5</w:t>
            </w:r>
            <w:r w:rsidRPr="009E25A4">
              <w:rPr>
                <w:rFonts w:ascii="Courier New" w:eastAsiaTheme="minorEastAsia" w:hAnsi="Courier New" w:cs="Courier New"/>
                <w:sz w:val="22"/>
                <w:szCs w:val="22"/>
              </w:rPr>
              <w:t>0 000,00 рублей.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Валюта вклада: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российские рубли.</w:t>
            </w: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</w:t>
            </w:r>
          </w:p>
        </w:tc>
      </w:tr>
      <w:tr w:rsidR="009201BC" w:rsidRPr="00C55511" w:rsidTr="00DF78E8">
        <w:trPr>
          <w:trHeight w:val="26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Срок вклада: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91,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120,150,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184</w:t>
            </w:r>
            <w:r w:rsidR="00B90760">
              <w:rPr>
                <w:rFonts w:ascii="Courier New" w:eastAsiaTheme="minorEastAsia" w:hAnsi="Courier New" w:cs="Courier New"/>
                <w:sz w:val="22"/>
                <w:szCs w:val="22"/>
              </w:rPr>
              <w:t>,367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,730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или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1095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дней.</w:t>
            </w:r>
          </w:p>
        </w:tc>
      </w:tr>
      <w:tr w:rsidR="009201BC" w:rsidRPr="00C55511" w:rsidTr="00DF78E8">
        <w:trPr>
          <w:trHeight w:val="491"/>
        </w:trPr>
        <w:tc>
          <w:tcPr>
            <w:tcW w:w="10065" w:type="dxa"/>
            <w:tcBorders>
              <w:top w:val="nil"/>
              <w:left w:val="nil"/>
              <w:right w:val="nil"/>
            </w:tcBorders>
            <w:vAlign w:val="center"/>
          </w:tcPr>
          <w:p w:rsidR="009201BC" w:rsidRPr="0030246A" w:rsidRDefault="009201BC" w:rsidP="0030246A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Возможность дистанционного обслуживания: </w:t>
            </w:r>
            <w:r w:rsidR="0030246A">
              <w:rPr>
                <w:rFonts w:ascii="Courier New" w:eastAsiaTheme="minorEastAsia" w:hAnsi="Courier New" w:cs="Courier New"/>
                <w:sz w:val="22"/>
                <w:szCs w:val="22"/>
              </w:rPr>
              <w:t>в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озможно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 Ознакомьтесь с УСЛОВИЯМИ дистанционного банковского обслуживания физических лиц в ООО банк «Элита»</w:t>
            </w:r>
          </w:p>
        </w:tc>
      </w:tr>
      <w:tr w:rsidR="009201BC" w:rsidRPr="009E25A4" w:rsidTr="00DF78E8">
        <w:trPr>
          <w:trHeight w:val="2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9E25A4" w:rsidRDefault="009201BC" w:rsidP="0030246A">
            <w:pPr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9E25A4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Необходимость заключения иных договоров: </w:t>
            </w:r>
            <w:r w:rsidR="00385DD7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отсутствует</w:t>
            </w:r>
            <w:r w:rsidR="0030246A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.</w:t>
            </w:r>
          </w:p>
        </w:tc>
      </w:tr>
      <w:tr w:rsidR="009201BC" w:rsidRPr="00C55511" w:rsidTr="00DF78E8">
        <w:trPr>
          <w:trHeight w:val="47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ПРОЦЕНТЫ ПО ВКЛАДУ</w:t>
            </w:r>
          </w:p>
        </w:tc>
      </w:tr>
      <w:tr w:rsidR="009201BC" w:rsidRPr="00C55511" w:rsidTr="00DF78E8">
        <w:trPr>
          <w:trHeight w:val="86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Минимальная гарантированная ставка по вкладу: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от </w:t>
            </w:r>
            <w:r w:rsidR="00D839AE">
              <w:rPr>
                <w:rFonts w:ascii="Courier New" w:eastAsiaTheme="minorEastAsia" w:hAnsi="Courier New" w:cs="Courier New"/>
                <w:sz w:val="22"/>
                <w:szCs w:val="22"/>
              </w:rPr>
              <w:t>8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9A68BA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 </w:t>
            </w:r>
            <w:r w:rsidR="008D6D44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4</w:t>
            </w:r>
            <w:r w:rsidR="008C6C69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C5195E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00%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годовых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зависимости от выбора вкладчика срока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</w:t>
            </w:r>
            <w:r w:rsidR="00294A2D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вклада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(</w:t>
            </w:r>
            <w:r w:rsidRPr="0030246A">
              <w:rPr>
                <w:rFonts w:ascii="Courier New" w:eastAsiaTheme="minorEastAsia" w:hAnsi="Courier New" w:cs="Courier New"/>
                <w:bCs/>
                <w:sz w:val="22"/>
                <w:szCs w:val="22"/>
              </w:rPr>
              <w:t>при условии хранения денежных средств до истечения срока вклада)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3F6318">
            <w:pPr>
              <w:widowControl w:val="0"/>
              <w:autoSpaceDE w:val="0"/>
              <w:autoSpaceDN w:val="0"/>
              <w:contextualSpacing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Максимально возможная процентная ставка: </w:t>
            </w:r>
            <w:r w:rsidR="00372285">
              <w:rPr>
                <w:rFonts w:ascii="Courier New" w:eastAsiaTheme="minorEastAsia" w:hAnsi="Courier New" w:cs="Courier New"/>
                <w:sz w:val="22"/>
                <w:szCs w:val="22"/>
              </w:rPr>
              <w:t>1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4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,</w:t>
            </w:r>
            <w:r w:rsidR="00C5195E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="00255045">
              <w:rPr>
                <w:rFonts w:ascii="Courier New" w:eastAsiaTheme="minorEastAsia" w:hAnsi="Courier New" w:cs="Courier New"/>
                <w:sz w:val="22"/>
                <w:szCs w:val="22"/>
              </w:rPr>
              <w:t>0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%  годовых</w:t>
            </w:r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(для вкладов со сроком 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120</w:t>
            </w:r>
            <w:r w:rsidR="00191E3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д</w:t>
            </w:r>
            <w:r w:rsidR="003F6318">
              <w:rPr>
                <w:rFonts w:ascii="Courier New" w:eastAsiaTheme="minorEastAsia" w:hAnsi="Courier New" w:cs="Courier New"/>
                <w:sz w:val="22"/>
                <w:szCs w:val="22"/>
              </w:rPr>
              <w:t>ней</w:t>
            </w:r>
            <w:bookmarkStart w:id="0" w:name="_GoBack"/>
            <w:bookmarkEnd w:id="0"/>
            <w:r w:rsidR="00EB7612"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)</w:t>
            </w:r>
          </w:p>
        </w:tc>
      </w:tr>
      <w:tr w:rsidR="009201BC" w:rsidRPr="00C55511" w:rsidTr="00DF78E8">
        <w:trPr>
          <w:trHeight w:val="19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C55511" w:rsidRDefault="009201BC" w:rsidP="00DF78E8">
            <w:pPr>
              <w:widowControl w:val="0"/>
              <w:autoSpaceDE w:val="0"/>
              <w:autoSpaceDN w:val="0"/>
              <w:contextualSpacing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Дополнительные условия, влияющие на процентную ставку: </w:t>
            </w:r>
            <w:r w:rsidRPr="00C55511">
              <w:rPr>
                <w:rFonts w:ascii="Courier New" w:eastAsiaTheme="minorEastAsia" w:hAnsi="Courier New" w:cs="Courier New"/>
                <w:sz w:val="22"/>
                <w:szCs w:val="22"/>
              </w:rPr>
              <w:t>отсутствуют</w:t>
            </w:r>
          </w:p>
        </w:tc>
      </w:tr>
      <w:tr w:rsidR="009201BC" w:rsidRPr="00C55511" w:rsidTr="00DF78E8">
        <w:trPr>
          <w:trHeight w:val="37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 xml:space="preserve">Порядок начисления и получения процентов: </w:t>
            </w:r>
            <w:r w:rsidR="005C612C" w:rsidRPr="0030246A">
              <w:rPr>
                <w:rFonts w:ascii="Courier New" w:hAnsi="Courier New" w:cs="Courier New"/>
                <w:sz w:val="22"/>
                <w:szCs w:val="22"/>
              </w:rPr>
              <w:t>Выплата процентов (дохода) по вкладу производится Банком в последний день Срока Вклада.</w:t>
            </w:r>
          </w:p>
          <w:p w:rsidR="00AA7745" w:rsidRDefault="00AA7745" w:rsidP="00AA7745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Начисление процентов на сумму вклада ведется со дня, следующего за днем ее поступления в "Банк", до дня возврата вкладчику включительно, а если ее списание со счета "Вкладчика" произведено по иным основаниям, до дня списания включительно. </w:t>
            </w:r>
          </w:p>
          <w:p w:rsidR="000579BF" w:rsidRPr="00895DF6" w:rsidRDefault="000579BF" w:rsidP="00AA7745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При закрытии вклада начисление процентов ведется до дня окончания срока вклада включительно или до дня фактического закрытия вклада включительно. </w:t>
            </w: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lastRenderedPageBreak/>
              <w:t>Если день окончания срока вклада приходится на нерабочий день, то последним днем срока вклада считается ближайший следующий за ним рабочий день.</w:t>
            </w:r>
          </w:p>
          <w:p w:rsidR="00E051F3" w:rsidRPr="00C707DD" w:rsidRDefault="00E051F3" w:rsidP="00E051F3">
            <w:pPr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895DF6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Ежемесячные проценты по вкладу (доход) не причисляются к основной сумме вклада.</w:t>
            </w:r>
          </w:p>
          <w:p w:rsidR="00AA7745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sz w:val="22"/>
                <w:szCs w:val="22"/>
              </w:rPr>
              <w:t xml:space="preserve">   При досрочном востребовании вклада (его части), начисление процентов </w:t>
            </w:r>
            <w:r w:rsidR="00E051F3">
              <w:rPr>
                <w:rFonts w:ascii="Courier New" w:hAnsi="Courier New" w:cs="Courier New"/>
                <w:sz w:val="22"/>
                <w:szCs w:val="22"/>
              </w:rPr>
              <w:t>производится по ставке вклада «Д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о востребования» на день возврата вклада за фактическое время хранения вклада.</w:t>
            </w:r>
          </w:p>
          <w:p w:rsidR="00EC170B" w:rsidRPr="0030246A" w:rsidRDefault="00EC170B" w:rsidP="00DF78E8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  <w:p w:rsidR="00EC170B" w:rsidRPr="0030246A" w:rsidRDefault="00EC170B" w:rsidP="00EC170B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hAnsi="Courier New" w:cs="Courier New"/>
                <w:b/>
                <w:sz w:val="22"/>
                <w:szCs w:val="22"/>
              </w:rPr>
              <w:t>ОПЕРАЦИИ ПО ВКЛАДУ</w:t>
            </w:r>
          </w:p>
        </w:tc>
      </w:tr>
      <w:tr w:rsidR="009201BC" w:rsidRPr="00C55511" w:rsidTr="00DF78E8">
        <w:trPr>
          <w:trHeight w:val="463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Возможность пополнения: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дополнительные взносы во вклад не принимаются. </w:t>
            </w:r>
          </w:p>
        </w:tc>
      </w:tr>
      <w:tr w:rsidR="009201BC" w:rsidRPr="00C55511" w:rsidTr="00DF78E8">
        <w:trPr>
          <w:trHeight w:val="49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Расходные операции: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частичное снятие со вклада не допускается.</w:t>
            </w:r>
          </w:p>
        </w:tc>
      </w:tr>
      <w:tr w:rsidR="009201BC" w:rsidRPr="00C55511" w:rsidTr="00DF78E8">
        <w:trPr>
          <w:trHeight w:val="43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ПРЕКРАЩЕНИЕ ДОГОВОРА ВКЛАДА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кредитной организации: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Прекращение договора Вклада по инициативе Банка возможно в соответствии с законодательством Российской Федерации.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По инициативе клиента: </w:t>
            </w:r>
            <w:r w:rsidRPr="0030246A">
              <w:rPr>
                <w:rFonts w:ascii="Courier New" w:hAnsi="Courier New" w:cs="Courier New"/>
                <w:sz w:val="22"/>
                <w:szCs w:val="22"/>
              </w:rPr>
              <w:t>Вкладчик вправе расторгнуть Договор вклада в любое время в течение срока действия Договора при условии личного обращения в Банк с целью расторжения Договора вклада.  Банк осуществляет выдачу наличных денежных средств через кассу Банка в соответствии с условиями досрочного расторжения договора вклада, либо на Счет банка РФ указанный при расторжении договора вклада.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Если срок вклада закончился:   </w:t>
            </w:r>
          </w:p>
          <w:p w:rsidR="000579BF" w:rsidRPr="00C55511" w:rsidRDefault="009201BC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Договор пролонгируется один раз без явки Вкладчика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>Банк, на условиях и под процентную ставку, действующ</w:t>
            </w:r>
            <w:r w:rsidR="000579BF">
              <w:rPr>
                <w:rFonts w:ascii="Courier New" w:eastAsiaTheme="minorEastAsia" w:hAnsi="Courier New" w:cs="Courier New"/>
                <w:sz w:val="22"/>
                <w:szCs w:val="22"/>
              </w:rPr>
              <w:t>ую</w:t>
            </w:r>
            <w:r w:rsidR="000579BF" w:rsidRPr="002B1A52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в Банке по данному виду вкладов на день окончания предыдущего срока хранения вклада. Последующие пролонгации допускаются по ставке вкладов "До востребования" за фактический срок хранения.</w:t>
            </w:r>
            <w:r w:rsidR="000579BF"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</w:t>
            </w:r>
          </w:p>
          <w:p w:rsidR="009201BC" w:rsidRPr="0030246A" w:rsidRDefault="000579BF" w:rsidP="000579BF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C55511">
              <w:rPr>
                <w:rFonts w:ascii="Courier New" w:eastAsiaTheme="minorEastAsia" w:hAnsi="Courier New" w:cs="Courier New"/>
                <w:sz w:val="22"/>
                <w:szCs w:val="22"/>
                <w:highlight w:val="yellow"/>
              </w:rPr>
              <w:t xml:space="preserve">      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РАСХОДЫ ПОТРЕБИТЕЛЯ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="00D65D2A" w:rsidRPr="0030246A">
              <w:rPr>
                <w:rFonts w:ascii="Courier New" w:hAnsi="Courier New" w:cs="Courier New"/>
                <w:sz w:val="22"/>
              </w:rPr>
              <w:t>Отдельные услуги предоставляются "Банком" "Вкладчику" на возмездной основе в соответствии с тарифами, действующими в "Банке" на день предоставления услуги.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         СТРАХОВАНИЕ ДЕНЕЖНЫХ СРЕДСТВ, РАЗМЕЩЕННЫХ ВО ВКЛАД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Денежные средства по совокупности вкладов и остатков по всем счетам в Банке застрахованы в пределах 1,4 млн рублей в соответствии с Федеральным законом от 23.12.2003 N177 - ФЗ "О страховании вкладов физических лиц в банках Российской Федерации"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center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>ОБРАЩАЕМ ВНИМАНИЕ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      Банк не вправе в одностороннем порядке (в пределах срока вклада):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изменять процентную ставку по вкладу в период действия договора в сторону ее уменьшения;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изменять срок действия договора;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- увеличивать или устанавливать комиссионное вознаграждение по операциям по продукту</w:t>
            </w:r>
          </w:p>
        </w:tc>
      </w:tr>
      <w:tr w:rsidR="009201BC" w:rsidRPr="00C55511" w:rsidTr="00DF78E8">
        <w:trPr>
          <w:trHeight w:val="522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lastRenderedPageBreak/>
              <w:t xml:space="preserve">                      Способы направления обращений в Банк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sz w:val="22"/>
                <w:szCs w:val="22"/>
              </w:rPr>
            </w:pPr>
            <w:r w:rsidRPr="0030246A">
              <w:rPr>
                <w:rFonts w:ascii="Courier New" w:eastAsiaTheme="minorEastAsia" w:hAnsi="Courier New" w:cs="Courier New"/>
                <w:b/>
                <w:sz w:val="22"/>
                <w:szCs w:val="22"/>
              </w:rPr>
              <w:t xml:space="preserve">    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>Вкладчик может направить письменное обращение в Банк</w:t>
            </w:r>
            <w:r w:rsidRPr="0030246A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Pr="0030246A">
              <w:rPr>
                <w:rFonts w:ascii="Courier New" w:eastAsiaTheme="minorEastAsia" w:hAnsi="Courier New" w:cs="Courier New"/>
                <w:sz w:val="22"/>
                <w:szCs w:val="22"/>
              </w:rPr>
              <w:t xml:space="preserve">посредством почтовой связи, по адресу, указанному в договоре, либо через сайт Банка в разделе «Обратная связь», а также предоставить его в офис Банка.  </w:t>
            </w:r>
          </w:p>
          <w:p w:rsidR="009201BC" w:rsidRPr="0030246A" w:rsidRDefault="009201BC" w:rsidP="00DF78E8">
            <w:pPr>
              <w:widowControl w:val="0"/>
              <w:autoSpaceDE w:val="0"/>
              <w:autoSpaceDN w:val="0"/>
              <w:jc w:val="both"/>
              <w:rPr>
                <w:rFonts w:ascii="Courier New" w:eastAsiaTheme="minorEastAsia" w:hAnsi="Courier New" w:cs="Courier New"/>
                <w:b/>
                <w:sz w:val="22"/>
                <w:szCs w:val="22"/>
              </w:rPr>
            </w:pPr>
          </w:p>
        </w:tc>
      </w:tr>
    </w:tbl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  <w:r w:rsidRPr="00C55511">
        <w:rPr>
          <w:sz w:val="18"/>
          <w:szCs w:val="18"/>
          <w:highlight w:val="yellow"/>
        </w:rPr>
        <w:t xml:space="preserve">                  </w:t>
      </w:r>
    </w:p>
    <w:p w:rsidR="009201BC" w:rsidRPr="00C55511" w:rsidRDefault="009201BC" w:rsidP="009201BC">
      <w:pPr>
        <w:pStyle w:val="a5"/>
        <w:rPr>
          <w:sz w:val="18"/>
          <w:szCs w:val="18"/>
          <w:highlight w:val="yellow"/>
        </w:rPr>
      </w:pPr>
    </w:p>
    <w:sectPr w:rsidR="009201BC" w:rsidRPr="00C55511" w:rsidSect="00972B2C">
      <w:pgSz w:w="11906" w:h="16838"/>
      <w:pgMar w:top="993" w:right="1797" w:bottom="902" w:left="1797" w:header="720" w:footer="720" w:gutter="0"/>
      <w:pgBorders w:offsetFrom="page">
        <w:top w:val="flowersTiny" w:sz="20" w:space="17" w:color="auto"/>
        <w:left w:val="flowersTiny" w:sz="20" w:space="17" w:color="auto"/>
        <w:bottom w:val="flowersTiny" w:sz="20" w:space="17" w:color="auto"/>
        <w:right w:val="flowersTiny" w:sz="20" w:space="17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23"/>
    <w:rsid w:val="00004595"/>
    <w:rsid w:val="00050B30"/>
    <w:rsid w:val="000579BF"/>
    <w:rsid w:val="00057FED"/>
    <w:rsid w:val="00092D50"/>
    <w:rsid w:val="00182B21"/>
    <w:rsid w:val="00191E3A"/>
    <w:rsid w:val="001A2275"/>
    <w:rsid w:val="001E77CD"/>
    <w:rsid w:val="001F04E2"/>
    <w:rsid w:val="002333A3"/>
    <w:rsid w:val="00255045"/>
    <w:rsid w:val="00284E10"/>
    <w:rsid w:val="00294A2D"/>
    <w:rsid w:val="002C048A"/>
    <w:rsid w:val="002D002E"/>
    <w:rsid w:val="002D0E77"/>
    <w:rsid w:val="0030246A"/>
    <w:rsid w:val="00316CC0"/>
    <w:rsid w:val="00322261"/>
    <w:rsid w:val="00352C4C"/>
    <w:rsid w:val="00372285"/>
    <w:rsid w:val="00382F22"/>
    <w:rsid w:val="00385DD7"/>
    <w:rsid w:val="003D6C96"/>
    <w:rsid w:val="003E5CA3"/>
    <w:rsid w:val="003F6318"/>
    <w:rsid w:val="0042233B"/>
    <w:rsid w:val="00491037"/>
    <w:rsid w:val="00491FC6"/>
    <w:rsid w:val="004A5E59"/>
    <w:rsid w:val="004B2DDA"/>
    <w:rsid w:val="004B754A"/>
    <w:rsid w:val="005C612C"/>
    <w:rsid w:val="006C4955"/>
    <w:rsid w:val="007A1611"/>
    <w:rsid w:val="007E50AF"/>
    <w:rsid w:val="00801B13"/>
    <w:rsid w:val="008031D3"/>
    <w:rsid w:val="008032DB"/>
    <w:rsid w:val="00807DB4"/>
    <w:rsid w:val="0081795E"/>
    <w:rsid w:val="00823E31"/>
    <w:rsid w:val="00830699"/>
    <w:rsid w:val="0083117C"/>
    <w:rsid w:val="00895DF6"/>
    <w:rsid w:val="008C6C69"/>
    <w:rsid w:val="008D6D44"/>
    <w:rsid w:val="008D724A"/>
    <w:rsid w:val="008E5674"/>
    <w:rsid w:val="008E660E"/>
    <w:rsid w:val="008E6CC5"/>
    <w:rsid w:val="008F2510"/>
    <w:rsid w:val="009201BC"/>
    <w:rsid w:val="00953B76"/>
    <w:rsid w:val="00967026"/>
    <w:rsid w:val="00972B2C"/>
    <w:rsid w:val="009A68BA"/>
    <w:rsid w:val="00A0145F"/>
    <w:rsid w:val="00A04B9A"/>
    <w:rsid w:val="00A07B4C"/>
    <w:rsid w:val="00A159B7"/>
    <w:rsid w:val="00A52672"/>
    <w:rsid w:val="00A85734"/>
    <w:rsid w:val="00A859CC"/>
    <w:rsid w:val="00A92994"/>
    <w:rsid w:val="00AA4E9E"/>
    <w:rsid w:val="00AA7745"/>
    <w:rsid w:val="00AB5F7E"/>
    <w:rsid w:val="00AD3430"/>
    <w:rsid w:val="00AD66A7"/>
    <w:rsid w:val="00AE4258"/>
    <w:rsid w:val="00AF6E44"/>
    <w:rsid w:val="00B3415D"/>
    <w:rsid w:val="00B37D74"/>
    <w:rsid w:val="00B74D83"/>
    <w:rsid w:val="00B90760"/>
    <w:rsid w:val="00BB07CB"/>
    <w:rsid w:val="00C5195E"/>
    <w:rsid w:val="00CC0E24"/>
    <w:rsid w:val="00D65D2A"/>
    <w:rsid w:val="00D839AE"/>
    <w:rsid w:val="00D85F81"/>
    <w:rsid w:val="00DA443D"/>
    <w:rsid w:val="00E051F3"/>
    <w:rsid w:val="00E16B94"/>
    <w:rsid w:val="00E30203"/>
    <w:rsid w:val="00E41195"/>
    <w:rsid w:val="00E43A2C"/>
    <w:rsid w:val="00E7793B"/>
    <w:rsid w:val="00E85593"/>
    <w:rsid w:val="00EB0E6E"/>
    <w:rsid w:val="00EB7612"/>
    <w:rsid w:val="00EC170B"/>
    <w:rsid w:val="00ED5123"/>
    <w:rsid w:val="00F1218E"/>
    <w:rsid w:val="00FB1EAD"/>
    <w:rsid w:val="00FB7EF0"/>
    <w:rsid w:val="00FD414C"/>
    <w:rsid w:val="00FD7667"/>
    <w:rsid w:val="00FF2B82"/>
    <w:rsid w:val="00FF4677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3618"/>
  <w15:chartTrackingRefBased/>
  <w15:docId w15:val="{A1F3178A-D080-4C74-AC87-42F49756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6CC5"/>
    <w:pPr>
      <w:ind w:left="-284" w:firstLine="644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8E6C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rsid w:val="008E6CC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rsid w:val="008E6CC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rsid w:val="008E6CC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411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11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4DB5E-B8F8-40CA-B5DF-85180453F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Елена Вячеславовна</dc:creator>
  <cp:keywords/>
  <dc:description/>
  <cp:lastModifiedBy>Матвеев Андрей Сергеевич</cp:lastModifiedBy>
  <cp:revision>4</cp:revision>
  <cp:lastPrinted>2025-07-10T13:57:00Z</cp:lastPrinted>
  <dcterms:created xsi:type="dcterms:W3CDTF">2025-10-03T05:51:00Z</dcterms:created>
  <dcterms:modified xsi:type="dcterms:W3CDTF">2025-11-25T09:00:00Z</dcterms:modified>
</cp:coreProperties>
</file>